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关于开展首届“英福杯”临床教学技能比赛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系列活动的通知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各规培基地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教研室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各位研究生导师：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庆祝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建党百年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华诞，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展现新时代教师风采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在中国共产党建党百年之际，第一临床医学院为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集中展示我院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深入学习贯彻习近平新时代中国特色社会主义思想、全面贯彻落实全国教育大会精神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“学党史、悟思想、办实事、开新局”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思想融入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教育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融入日常。为激发全体教师尤其青年教师教学热情，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展现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教师爱国奋斗、立德树人的精神风貌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生党总支教工党支部与医院工会、临床教务处、研究生处联合开展岗位练兵、技能比武首届“英福杯”临床教学技能比赛系列活动。秉承以赛促学、以赛促教、教学相长的宗旨，规范教学过程，提高教师素质，锤炼青年教师教学基本功，助力中青年教师教学能力的培养与提升。活动内容包括：青年教师讲课比赛、教学查房比赛、青年教师临床技能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现将各项活动时间及方案公布如下：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一、青年教师讲课比赛（附件1、2）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报名时间：2021年4月12日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比赛时间：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2021年4月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二、教学查房比赛（附件3、4）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报名时间：2021年5月10日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比赛时间：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2021年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5月21日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三、青年教师临床技能比赛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报名时间：2021年7—8月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比赛时间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实施方案另行通知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480" w:firstLineChars="14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学生党总支教工党支部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工会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临床教务处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研究生处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2021年4月9日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120" w:firstLineChars="16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首届“英福杯”临床教学技能比赛</w:t>
      </w:r>
    </w:p>
    <w:p>
      <w:pPr>
        <w:widowControl/>
        <w:spacing w:line="560" w:lineRule="atLeast"/>
        <w:jc w:val="center"/>
        <w:rPr>
          <w:rFonts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——青年教师讲课比赛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20" w:leftChars="0" w:firstLine="64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参赛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条件及范围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我院中青年教师（45岁及以下，1976年01月01日后出生）。内科学教研室、外科学教研室至少各两人，其他教研室至少各一人；鼓励中青年导师积极参赛。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二、比赛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内容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及安排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时间：2021年4月12日 16：00前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比赛时间：2021年4月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比赛地点：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医学校区杏林楼或恪勤楼教室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比赛内容分为教学设计文案（分值占总分40%）和课堂教学演示（分值占总分60%）两部分，每位参赛教师提交2学时的课堂教学设计文案，并进行现场教学演示，演示时间为5分钟。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（一）教学设计文案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报名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，参赛教师需提交以下材料：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1.参赛课程2个学时的教学设计文案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电子版，建议PDF格式；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2.参赛课程相对应的其中1个教学节段PPT（即5分钟课堂教学演示）。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（二）课堂教学演示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课堂教学规定时间为5分钟。参赛教师可根据各自参赛课程需要，携带教学模型、挂图、激光笔等。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三、比赛流程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4月21日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抽签决定现场课堂教学演示顺序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并提交教案及PPT；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2.比赛当天参赛者携带教案入场并进行课堂教学演示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3.请专家学者担任评委，对选手的教案和现场教学演示进行评审，综合评定选手最终成绩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奖项设置</w:t>
      </w:r>
    </w:p>
    <w:p>
      <w:pPr>
        <w:widowControl/>
        <w:spacing w:line="560" w:lineRule="atLeas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比赛设一等奖1名，二等奖3名，三等奖5名，优秀奖若干，颁发荣誉证书，并给予相应奖励。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获奖成绩计入科室“一科一策”年终考核教学加分项中。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参赛者于2021年4月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16时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前提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交“青年教师讲课比赛报名表”（附件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）电子版，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4月21日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提交教案及课堂教学演示ppt（电子版）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均发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至教务科邮箱（ldyyjwk@163.com）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联系人：张彦星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联系电话：8356328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青年教师讲课比赛报名表</w:t>
      </w:r>
    </w:p>
    <w:tbl>
      <w:tblPr>
        <w:tblStyle w:val="3"/>
        <w:tblpPr w:leftFromText="180" w:rightFromText="180" w:vertAnchor="text" w:horzAnchor="page" w:tblpX="1405" w:tblpY="462"/>
        <w:tblOverlap w:val="never"/>
        <w:tblW w:w="9398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60"/>
        <w:gridCol w:w="1152"/>
        <w:gridCol w:w="1416"/>
        <w:gridCol w:w="1096"/>
        <w:gridCol w:w="2988"/>
        <w:gridCol w:w="142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所在教研室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参赛课程名称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李X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XX教研室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肝外胆管结石与急性胆管炎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139xxxx5678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首届“英福杯”临床教学技能比赛</w:t>
      </w:r>
    </w:p>
    <w:p>
      <w:pPr>
        <w:widowControl/>
        <w:spacing w:line="560" w:lineRule="atLeast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——教学查房比赛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参赛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条件及范围</w:t>
      </w:r>
    </w:p>
    <w:p>
      <w:pPr>
        <w:widowControl/>
        <w:numPr>
          <w:ilvl w:val="0"/>
          <w:numId w:val="0"/>
        </w:numPr>
        <w:spacing w:line="56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各规培基地、教研室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以个人或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教学团队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形式均可报名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参赛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220" w:leftChars="0" w:firstLine="64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报名及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比赛时间</w:t>
      </w:r>
    </w:p>
    <w:p>
      <w:pPr>
        <w:widowControl/>
        <w:numPr>
          <w:ilvl w:val="0"/>
          <w:numId w:val="0"/>
        </w:numPr>
        <w:spacing w:line="56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报名时间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2021年5月10日16：00前</w:t>
      </w:r>
    </w:p>
    <w:p>
      <w:pPr>
        <w:widowControl/>
        <w:numPr>
          <w:ilvl w:val="0"/>
          <w:numId w:val="0"/>
        </w:numPr>
        <w:spacing w:line="560" w:lineRule="atLeas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比赛时间：2021年5月17日—5月21日</w:t>
      </w:r>
    </w:p>
    <w:p>
      <w:pPr>
        <w:widowControl/>
        <w:spacing w:line="560" w:lineRule="atLeast"/>
        <w:ind w:firstLine="643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比赛流程</w:t>
      </w:r>
    </w:p>
    <w:p>
      <w:pPr>
        <w:widowControl/>
        <w:spacing w:line="560" w:lineRule="atLeas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1.参赛团队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或个人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比赛评分细则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附件5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科室准备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参赛教学查房病案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；</w:t>
      </w:r>
    </w:p>
    <w:p>
      <w:pPr>
        <w:widowControl/>
        <w:spacing w:line="560" w:lineRule="atLeas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2.请相关专家担任评委，对参赛人员及其团队教学查房进行打分。</w:t>
      </w:r>
    </w:p>
    <w:p>
      <w:pPr>
        <w:widowControl/>
        <w:spacing w:line="560" w:lineRule="atLeast"/>
        <w:ind w:firstLine="643" w:firstLineChars="200"/>
        <w:jc w:val="left"/>
        <w:rPr>
          <w:rFonts w:hint="default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四、奖项设置</w:t>
      </w:r>
    </w:p>
    <w:p>
      <w:pPr>
        <w:widowControl/>
        <w:spacing w:line="560" w:lineRule="atLeast"/>
        <w:ind w:firstLine="640" w:firstLineChars="200"/>
        <w:jc w:val="lef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比赛设一等奖1名，二等奖3名，三等奖5名，优秀奖若干，颁发荣誉证书，并给予相应奖励。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获奖成绩计入科室“一科一策”年终考核教学加分项中。</w:t>
      </w:r>
    </w:p>
    <w:p>
      <w:pPr>
        <w:widowControl/>
        <w:spacing w:line="560" w:lineRule="atLeast"/>
        <w:ind w:firstLine="643" w:firstLineChars="20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报名方式</w:t>
      </w:r>
    </w:p>
    <w:p>
      <w:pPr>
        <w:widowControl/>
        <w:spacing w:line="560" w:lineRule="atLeas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参赛者于2021年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16时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前提交“教学查房比赛报名表”（附件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）电子版至教务科邮箱ldyyjwk@163.com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张彦星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联系电话：8356328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560" w:lineRule="atLeas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教学查房比赛报名表</w:t>
      </w:r>
    </w:p>
    <w:tbl>
      <w:tblPr>
        <w:tblStyle w:val="3"/>
        <w:tblW w:w="816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660"/>
        <w:gridCol w:w="1152"/>
        <w:gridCol w:w="1416"/>
        <w:gridCol w:w="2244"/>
        <w:gridCol w:w="142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主持查房教师姓名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所在科室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所在教研室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XX教研室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李X（初级带教老师）        王X（实习学生）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139xxxx5678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附件5：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第一临床医学院</w:t>
      </w:r>
      <w:r>
        <w:rPr>
          <w:rFonts w:hint="eastAsia"/>
          <w:b/>
          <w:sz w:val="32"/>
          <w:szCs w:val="32"/>
        </w:rPr>
        <w:t>2021年教学查房比赛评分标准</w:t>
      </w:r>
    </w:p>
    <w:p>
      <w:pPr>
        <w:jc w:val="center"/>
        <w:rPr>
          <w:b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038"/>
        <w:gridCol w:w="2540"/>
        <w:gridCol w:w="1123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12" w:type="dxa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查房前准备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教学查房人员准备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人员安排符合三级医师查房规范，须有实习生或规培生参加，缺一个即扣除0.5分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病例的准备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不是典型病例（多发病、常见病病例）扣3分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相关准备工作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病历、记录本、检查报告、影像片、查房用的器械 缺一项扣1分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教学查房过程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第一阶段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示教室查房（5分钟）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查房主持者向观摩人员介绍自己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未完整的介绍扣1分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查房主持者提出教学查房病人、病种，交代重点和难点内容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未交待重点内容扣2分              未交待难点内容扣2分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实习医师将病历交查房主持者，向主持者脱稿报告病例（病史、症状、体征、辅助检查、初步诊断和治疗情况）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未脱稿扣5分报告病例漏一项扣1分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主管病床医师及主治医师依次作补充说明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无补充说明扣1分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主持者补充遗漏或纠正错误，作简要评价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未补充遗漏或纠正错误扣1.5分     未作简要评价扣1.5分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第二阶段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病房查房（15分钟）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实习生询问病情和进行体检操作，查房主持者引导或指导体检重点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查房主持者未引导或指导体检重点扣5分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主持者根据汇报情况及病情记载情况，亲自询问病史，并作查体示范等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未亲自询问病史扣3分               未作查体示范扣12分               作查体示范不规范扣6分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在进入病房前查房主持人和实习学生洗手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未洗手扣1分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进入病房后的站位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未按查房规范站位扣2分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查房用小车器械齐全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器械准备不全，缺一项扣1分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第三阶段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示教室讨论总结（10分钟）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主持者对病历及其诊疗优缺点进行评价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未完整进行评价，缺一项扣1分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病例讲解与讨论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1.目的明确，阐述清楚（10分）     2.概念讲述准确，条理清晰（10分） 3.重点突出，难点讲透（5分）      4.培养实习生临床思维方法，注重临床分析，不单纯靠临床检查（5分）    5.进行启发式教育，注意临床思维培养（5分）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师生互动，互提问题不活跃扣5分无互动扣15分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总结学习内容与收获，讲解新进展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未总结学习收获扣1分               未讲解新进展扣2分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布置作业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未布置作业扣5分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5分</w:t>
            </w:r>
          </w:p>
        </w:tc>
      </w:tr>
    </w:tbl>
    <w:p/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atLeast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EBE37"/>
    <w:multiLevelType w:val="singleLevel"/>
    <w:tmpl w:val="AA2EBE37"/>
    <w:lvl w:ilvl="0" w:tentative="0">
      <w:start w:val="1"/>
      <w:numFmt w:val="chineseCounting"/>
      <w:suff w:val="nothing"/>
      <w:lvlText w:val="%1、"/>
      <w:lvlJc w:val="left"/>
      <w:pPr>
        <w:ind w:left="-2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1213"/>
    <w:rsid w:val="051271F2"/>
    <w:rsid w:val="09922865"/>
    <w:rsid w:val="0F1B77F1"/>
    <w:rsid w:val="137C27DC"/>
    <w:rsid w:val="162C63AB"/>
    <w:rsid w:val="1CAA7FBE"/>
    <w:rsid w:val="223D5F96"/>
    <w:rsid w:val="24552E7F"/>
    <w:rsid w:val="27F14513"/>
    <w:rsid w:val="28111FE1"/>
    <w:rsid w:val="29204ADC"/>
    <w:rsid w:val="293107E4"/>
    <w:rsid w:val="329222C4"/>
    <w:rsid w:val="332213FC"/>
    <w:rsid w:val="34195AA0"/>
    <w:rsid w:val="440F286F"/>
    <w:rsid w:val="441E098A"/>
    <w:rsid w:val="45C63BBD"/>
    <w:rsid w:val="46A81627"/>
    <w:rsid w:val="4B035860"/>
    <w:rsid w:val="4B954F0B"/>
    <w:rsid w:val="4BAD6FC1"/>
    <w:rsid w:val="5588700C"/>
    <w:rsid w:val="592D218A"/>
    <w:rsid w:val="5C266D16"/>
    <w:rsid w:val="5DDB61FC"/>
    <w:rsid w:val="60097537"/>
    <w:rsid w:val="61B85585"/>
    <w:rsid w:val="63E86BC7"/>
    <w:rsid w:val="663F381E"/>
    <w:rsid w:val="693328E6"/>
    <w:rsid w:val="6AD6410A"/>
    <w:rsid w:val="6F43656C"/>
    <w:rsid w:val="701514AD"/>
    <w:rsid w:val="721E7CFE"/>
    <w:rsid w:val="7304720D"/>
    <w:rsid w:val="733939D9"/>
    <w:rsid w:val="789C66AA"/>
    <w:rsid w:val="79881016"/>
    <w:rsid w:val="7E480AAF"/>
    <w:rsid w:val="7F876E61"/>
    <w:rsid w:val="7FBE298C"/>
    <w:rsid w:val="7FB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customStyle="1" w:styleId="10">
    <w:name w:val="img2bg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2021-03-30T09:14:00Z</dcterms:created>
  <dc:creator>hp</dc:creator>
  <cp:lastModifiedBy>李雪斐</cp:lastModifiedBy>
  <cp:lastPrinted>2021-04-07T03:11:00Z</cp:lastPrinted>
  <dcterms:modified xsi:type="dcterms:W3CDTF">2021-04-12T01:22:45Z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5A1368E2E6FD4221B23A938F702DEA19</vt:lpwstr>
  </property>
</Properties>
</file>