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346"/>
        <w:gridCol w:w="3036"/>
        <w:gridCol w:w="3497"/>
        <w:gridCol w:w="1903"/>
        <w:gridCol w:w="1570"/>
        <w:gridCol w:w="858"/>
        <w:gridCol w:w="1370"/>
        <w:gridCol w:w="63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98" w:hRule="atLeast"/>
        </w:trPr>
        <w:tc>
          <w:tcPr>
            <w:tcW w:w="13982" w:type="dxa"/>
            <w:gridSpan w:val="9"/>
            <w:tcBorders>
              <w:top w:val="nil"/>
              <w:left w:val="nil"/>
              <w:bottom w:val="single" w:color="auto"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rPr>
            </w:pPr>
            <w:r>
              <w:rPr>
                <w:rFonts w:hint="eastAsia" w:ascii="宋体" w:hAnsi="宋体" w:eastAsia="宋体" w:cs="宋体"/>
                <w:b/>
                <w:i w:val="0"/>
                <w:color w:val="000000"/>
                <w:kern w:val="0"/>
                <w:sz w:val="32"/>
                <w:szCs w:val="32"/>
                <w:u w:val="none"/>
                <w:lang w:val="en-US" w:eastAsia="zh-CN" w:bidi="ar"/>
              </w:rPr>
              <w:t>兰州大学第一医院、第一临床医学</w:t>
            </w:r>
            <w:bookmarkStart w:id="0" w:name="_GoBack"/>
            <w:bookmarkEnd w:id="0"/>
            <w:r>
              <w:rPr>
                <w:rFonts w:hint="eastAsia" w:ascii="宋体" w:hAnsi="宋体" w:eastAsia="宋体" w:cs="宋体"/>
                <w:b/>
                <w:i w:val="0"/>
                <w:color w:val="000000"/>
                <w:kern w:val="0"/>
                <w:sz w:val="32"/>
                <w:szCs w:val="32"/>
                <w:u w:val="none"/>
                <w:lang w:val="en-US" w:eastAsia="zh-CN" w:bidi="ar"/>
              </w:rPr>
              <w:t>院卓越计划拟立项名单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036"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497"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申请团队</w:t>
            </w:r>
          </w:p>
        </w:tc>
        <w:tc>
          <w:tcPr>
            <w:tcW w:w="1903"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负责人所在班级</w:t>
            </w:r>
          </w:p>
        </w:tc>
        <w:tc>
          <w:tcPr>
            <w:tcW w:w="1570"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负责人联系电话</w:t>
            </w:r>
          </w:p>
        </w:tc>
        <w:tc>
          <w:tcPr>
            <w:tcW w:w="858"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指导教师</w:t>
            </w:r>
          </w:p>
        </w:tc>
        <w:tc>
          <w:tcPr>
            <w:tcW w:w="1370"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指导教师所在科室/教研室</w:t>
            </w:r>
          </w:p>
        </w:tc>
        <w:tc>
          <w:tcPr>
            <w:tcW w:w="630"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772" w:type="dxa"/>
            <w:tcBorders>
              <w:top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hsa_circRNA_0005480在胃癌发生发展中的作用及其机制研究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王浩嘉、赵进玉、项杨辉、王京、牛聚宝、郑天赟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13088758515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姬瑞</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甘肃地区胃癌病理特征与预后分析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许林宗、李政霖、冀清方、毛尔东</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2015级全科6班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18298433983</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刘小军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肿瘤内科/内科教研室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甘肃省农村居民甲状腺疾病与血清尿酸的相关性研究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安亚琼、秦俊秀、吕树刚、田家乐、杨刚、陈重阳 、肖晓、逯彤霞</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15117113992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傅松波</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甲状腺结节患者外周血EPO及CD56的表达及临床意义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逯娅雯、甘霈、周骉、李婧、王波、郝汉、董雅琪、李旭</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13519619687</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吴晓燕</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甘肃陇南农村代谢综合征人群甲状腺功能异常及相关因素调查</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吴静、程章威、许佳春、杨晶晶、李彩平、张倩、陈菁华、成思琪</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15009314396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傅松波</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多囊卵巢综合征外周血circRNA标志物的筛选诊断</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杨珂欣、柯育霞、王喆、黄振华、苟红忠</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18238508208</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孙蔚明</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胃癌EBV感染与miR-144、MET、E-Cadherin表达的关系</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董小娟、武凯楠、雷娇、李雪、骆作喜、饶秀芹 </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2015级临床6班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18409448013</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赵越</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外周血PD-1/PD-L1及Breg联合涎腺超声在原发性干燥综合征早期诊断中的意义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汪钰涵、陈卫红、王瑞婷</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2016级临床10班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13008709010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陈雁飞</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风湿免疫科/内科教研室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甘肃省慢性肾脏病发病的地域分布差异及原因分析</w:t>
            </w:r>
          </w:p>
        </w:tc>
        <w:tc>
          <w:tcPr>
            <w:tcW w:w="3497" w:type="dxa"/>
            <w:shd w:val="clear"/>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魏琪琦、杨蓉、薛潇、杨凯莉、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吕红、史慧敏、尚兰兰、崔治华</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2015级全科4班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15294227226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李侃</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肾病科/内科教研室 </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miR-125a-1-3p调节胃癌细胞增殖及其临床意义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雷敏、雷婷婷、李杨、王稼祥、任艳</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2015级临床2班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15002664406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任茜</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IRTKS在胃癌中的表达及作用研究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杨晓艳、何涛涛、张雪芹、黄荷、   陈鹏伟、朱玉苗</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2015级全科4班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17793248642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LncRNA FOXF1-AS1通过调控FTO介导的RNA去甲基化功能在胃癌进展中的机制研究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张异淦、常泽楠、王英子、郭慧真、许林宗</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18794825420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刘小军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肿瘤内科/内科教研室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降糖药对2型糖尿病患者骨代谢的影响</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刘羊钰、刘亚琦、马捷、胡志伟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18193153557</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孙蔚明</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基于循环外泌体的肺癌早期诊断非编码RNA分子标记物的筛选、验证</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刘妹妹、张继恒、郝汉、陈晓莹 胡雅雯、闫荣、朱敏、马龙</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18419152758</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白雪</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肥胖相关基因FTO与胃癌临床指标的相关性，及其生物学功能预测</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郭慧真、和娇娇、尚铭瑾、李盼盼、 张异淦</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2015级临床7班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13519680542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陈兆峰</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miR-133a在胃癌组织中的表达及其临床意义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雷程程、李璞、刘婷、何志洁、亢悦 、马海栋</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2016级检验1班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18794890981</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医学科学</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基于ISET技术的对胃癌循环肿瘤细胞的检测及其临床意义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马圆、农春梅、胡丹、李雪、李宁、邢娜、李欣、曹映乾</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2016级临床1班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18794880449</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王芳/马守成</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肿瘤内科/内科教研室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富血小板血浆用于关节软骨缺损修复的作用及机理研究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王瑞瑞、田亮、王盛、何永娟、袁仪珮、吴庭恺              </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2015级临床3班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18394288560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王昕</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骨科/外科教研室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生物钟基因Per2对胰腺癌细胞凋亡的研究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刘思聪、高旭、霍元、王嵘、张克梵、王楠、吴仲豪、汪明星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2015级临床2班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15002536815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李波</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普外三科/外科教研室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肥胖在癌症进展中的促进作用</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王英子、邱雨欣、贺棪、张玉林、王一帆</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2015级临床7班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18894336619</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陈小勇</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男科/外科教研室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透明质酸对新西兰兔骨折愈合的影响及机制研究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狄嘉伟、钱洲曜、黄鹏、刘珏衡、齐钥、吕怡萱</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2014级临床9班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18719811287</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骨科/外科教研室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老年心衰患者心脏形态功能评估</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陆硕、何水清、李招、杜雯娟、张寅昌、符珍珍、刘旭升、张健敏</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2015级影像1班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15294205727</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薛丽丽</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超声科／影像教研室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ABVS及ARFI在乳腺癌新辅助化疗疗效评估中的应用价值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周贤、刘文梅、王娟、张先卓、张杰、李俊峰、高振东</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2015级全科2班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17794230966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王惠</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超声科/影像教研室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多模态模型对预测显微镜下精索静脉曲张结扎术患者精液质量改善价值研究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李赛、焦宁、郝瑶、郭红红、杨爽、李发学、李明杰</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2015级影像1班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15882650016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冯菲</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超声科／影像教研室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急性缺血性脑卒中梗死部位与认知功能障碍的相关性分析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康随芳、杨玉蓉、胡榕、侯博、赵曲飞、李国江、冉磊、陈琦泽</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2016级全科4班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18809401426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周喆</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神经内科/神经病学教研室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重症肌无力合并胸腺瘤患者的临床分型和病理分型的相关性分析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宋俊权、张雅娟、宋莹、魏甜、王泽龙、孙念哲</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2016级临床7班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13088729436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周喆</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神经内科/神经病学教研室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电子病历模式结合PBL对临床实习效果的研究-以脑血管病为例</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马一凡、武永莉、刘欣语、孟阳、高振东、周金来、吴亚洲  </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2016级临床6班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18419386320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武文娟</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神经内科/神经病学教研室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基于大数据关联规则的系统性红斑狼疮早期诊断指标群的挖掘与研究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韩恒通、李丹阳、李佳佳、窦艳红</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2015级临床8班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18143763386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于海涛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检验科/检验学教研室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ARNT在系统性红斑狼疮发病中的作用及诊断价值研究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汤灏东、冯珍、王钰玺、曹建泽、马志云、刘悦</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2016临床10班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17742560569</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于海涛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检验科/检验学教研室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基于大数据分析方法研究中性粒细胞淋巴细胞比值对自身免疫性肝病的诊断价值</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高嘉瑶、申艳、谢犇、王璇</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18215199495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于海涛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检验科/检验学教研室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肝脏组织病理学与血清肝脏纤维化指标、肝脏弹性对照成像研究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刘蕊、刘光祖、代皓天、詹佳欢、王萌、马婕、王雨、许佳春</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2015级临床2班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17797514336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毛小荣</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传染科/传染病教研室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布鲁菌病患者临床特征与实验室分析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李涵、焦福智、郝星源、王馨怡、王思贤</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2015级临床6班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15281825853</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李敏</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传染科/传染病教研室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兰州市城关区老年人轻度认知功能障碍影响因素的研究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马宝、温臻、张雅娟、陈菁华、殷彬、张玉林、秦誉博、彭蔷</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2015级临床7班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18794785885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刘琦</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基于作业时间测定法的群体伤病院内应急预案优化的研究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李思平、刘心路、肖宗源、茹皓、凡雅坤、雷瑞祥</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2016级临床5班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15294190726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王文进</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急诊科/急诊教研室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医药科学类 </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外科综合实践教学方法在临床教学中的应用</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谢犇、吴静、申艳、高嘉瑶</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2015级临床4班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13720720620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谢龙</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临床技能中心</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儿童呼吸道感染抗生素使用现状研究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何力宏、曹志强、卢振兴、王丹、杨莹、霍萍、马祺、韩小舟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2016级临床7班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17361618606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徐晖</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儿科/儿科教研室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hCG对子宫内膜容受性的影响及机制研究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罗丝丝、曹冲、周鼎、冯彦栋、孙航、郭献政、刘梅、徐江莉</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2014级临床5班</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18809490508</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高明霞</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妇产科/妇产科教研室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13982" w:type="dxa"/>
            <w:gridSpan w:val="9"/>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研究生卓越计划项目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磁共振多模态成像评价肝硬化形态及功能的价值</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刘海峰 张跃 许永生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18298416506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雷军强</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钆塞酸二钠诊断肝细胞肝癌微血管侵犯的临床应用价值</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许永生 张跃 刘海峰</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13893603782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雷军强</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GAN14在子宫内膜癌中的表达及其临床意义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刘翠萍 倾丽梅</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13609330962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王静</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妇产科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土荆皮乙酸通过caspase介导的线粒体死亡途径的激活抗宫颈癌细胞分子机制研究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lang w:val="en-US" w:eastAsia="zh-CN" w:bidi="ar"/>
              </w:rPr>
              <w:t>关德凤 胡丹 王欣</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18794843624</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杨永秀</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妇产科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lang w:val="en-US" w:eastAsia="zh-CN" w:bidi="ar"/>
              </w:rPr>
              <w:t>基于倾向性评分匹配的</w:t>
            </w:r>
            <w:r>
              <w:rPr>
                <w:rStyle w:val="5"/>
                <w:rFonts w:eastAsia="宋体"/>
                <w:lang w:val="en-US" w:eastAsia="zh-CN" w:bidi="ar"/>
              </w:rPr>
              <w:t>IB-IIB</w:t>
            </w:r>
            <w:r>
              <w:rPr>
                <w:rStyle w:val="4"/>
                <w:lang w:val="en-US" w:eastAsia="zh-CN" w:bidi="ar"/>
              </w:rPr>
              <w:t>期宫颈癌局部治疗方式生存分析研究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lang w:val="en-US" w:eastAsia="zh-CN" w:bidi="ar"/>
              </w:rPr>
              <w:t>黄梦微 关德凤 李永霞</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13893324720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杨永秀</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妇产科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融合蛋白对椎间盘退变作用的研究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孙俊豪 谭鉴仕</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17393194980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王昕</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全膝关节置换术后假体周围骨折的临床疗效及危险因素分析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李二亮</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15319082295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王文己</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右美托咪定腹腔注射对急性腹膜炎小鼠局部组织抗炎活性的作用及机制研究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马莉 孟宁 张梦婕</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13679416015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冷玉芳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麻醉科 </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维生素D受体基因多态性与2型糖尿病机制研究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杨芸瑞 朱敏 闫荣</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17797514523</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甄东户</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兰州市糖尿病患者恶性肿瘤的患病率与机制研究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韩艳萍  杨扬  侯丽娟</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15101341158</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甄东户</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内分泌与代谢性疾病</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血小板源性生长因子在糖尿病足发生中的作用及机制研究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谢瑞敏 李想</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18298337530</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外科教研室</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长链非编码RNA SNHG11在胃癌中的表达及作用研究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彭宇奎 魏宗苹 王炯</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15294146236</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郭庆红</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3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linc-RNA AC006050.3在胃癌中的表达及其临床相关性研究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李璠 柳云婷 江晓妮</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13893467492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郭庆红</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循环miRNA在胃癌诊断中的价值研究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韦卉 王晓峰 舒小闯</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18809403269</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任茜</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WGCNA 对胃癌分子诊断及预后的探讨</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蒲柯  刘晓光</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15294146237</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胃癌潜在性核心基因的鉴定和结果分析</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张军 赵丹丹 马丹</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13452130081</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王玉平</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胃息肉发病相关因素及病理特征研究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李转 苏红霞</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18329906464</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李强</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消化内科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利拉鲁肽-PLGA-PEG 纳米微粒对于心肌梗死的作用及其机制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李昕 刘世栋 李晗</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13909469293</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祁泉</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心血管外科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地西他滨在复发/难治性急性髓系白血病中的应用及相关耐药机制研究 </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薛明明 张淑玲 李瑞璇 张泽郡</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18215174945</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刘蓓</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质谱流式细胞仪检测急性髓系白血病细胞免疫表型及其与预后关系研究</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李丽君 乔艳红 见金利</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18215105679</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刘蓓</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乳酸脱氢酶在骨髓增生异常综合征和巨幼细胞性贫血鉴别诊断中的临床意义</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张锦 王盼盼 张鹏鹏</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15214051512</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刘春霞</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血液内科学/内科学</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6" w:hRule="atLeast"/>
        </w:trPr>
        <w:tc>
          <w:tcPr>
            <w:tcW w:w="34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3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外源性补充褪黑素联合氟哌啶醇对ICU获得性谵妄的影响</w:t>
            </w:r>
          </w:p>
        </w:tc>
        <w:tc>
          <w:tcPr>
            <w:tcW w:w="349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朱磊、刘晶晶、鲁家驹</w:t>
            </w:r>
          </w:p>
        </w:tc>
        <w:tc>
          <w:tcPr>
            <w:tcW w:w="190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13659316888</w:t>
            </w:r>
          </w:p>
        </w:tc>
        <w:tc>
          <w:tcPr>
            <w:tcW w:w="85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刘健</w:t>
            </w:r>
          </w:p>
        </w:tc>
        <w:tc>
          <w:tcPr>
            <w:tcW w:w="137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重症医学科</w:t>
            </w:r>
          </w:p>
        </w:tc>
        <w:tc>
          <w:tcPr>
            <w:tcW w:w="63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3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3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太赫兹技术检测高脂血症体系研究</w:t>
            </w:r>
          </w:p>
        </w:tc>
        <w:tc>
          <w:tcPr>
            <w:tcW w:w="34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谢明真 吕逸斐</w:t>
            </w:r>
          </w:p>
        </w:tc>
        <w:tc>
          <w:tcPr>
            <w:tcW w:w="19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c>
          <w:tcPr>
            <w:tcW w:w="157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13142156699</w:t>
            </w:r>
          </w:p>
        </w:tc>
        <w:tc>
          <w:tcPr>
            <w:tcW w:w="85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何津春</w:t>
            </w:r>
          </w:p>
        </w:tc>
        <w:tc>
          <w:tcPr>
            <w:tcW w:w="137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w:t>
            </w:r>
          </w:p>
        </w:tc>
        <w:tc>
          <w:tcPr>
            <w:tcW w:w="63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医药科学类</w:t>
            </w:r>
          </w:p>
        </w:tc>
        <w:tc>
          <w:tcPr>
            <w:tcW w:w="77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187F"/>
    <w:rsid w:val="2902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41"/>
    <w:basedOn w:val="2"/>
    <w:uiPriority w:val="0"/>
    <w:rPr>
      <w:rFonts w:hint="eastAsia" w:ascii="宋体" w:hAnsi="宋体" w:eastAsia="宋体" w:cs="宋体"/>
      <w:color w:val="000000"/>
      <w:sz w:val="22"/>
      <w:szCs w:val="22"/>
      <w:u w:val="none"/>
    </w:rPr>
  </w:style>
  <w:style w:type="character" w:customStyle="1" w:styleId="5">
    <w:name w:val="font31"/>
    <w:basedOn w:val="2"/>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2018-05-08T02:42:55Z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